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黑体" w:hAnsi="黑体" w:eastAsia="黑体" w:cs="黑体"/>
          <w:sz w:val="32"/>
          <w:szCs w:val="32"/>
        </w:rPr>
        <w:t>附件</w:t>
      </w:r>
    </w:p>
    <w:p>
      <w:pPr>
        <w:keepNext w:val="0"/>
        <w:keepLines w:val="0"/>
        <w:pageBreakBefore w:val="0"/>
        <w:widowControl/>
        <w:kinsoku/>
        <w:wordWrap/>
        <w:overflowPunct/>
        <w:topLinePunct w:val="0"/>
        <w:autoSpaceDE/>
        <w:autoSpaceDN/>
        <w:bidi w:val="0"/>
        <w:adjustRightInd/>
        <w:snapToGrid/>
        <w:spacing w:before="313" w:beforeLines="100" w:line="240" w:lineRule="auto"/>
        <w:ind w:right="0" w:rightChars="0"/>
        <w:jc w:val="center"/>
        <w:textAlignment w:val="auto"/>
        <w:outlineLvl w:val="9"/>
        <w:rPr>
          <w:rFonts w:hint="eastAsia" w:ascii="方正小标宋_GBK" w:hAnsi="方正小标宋_GBK" w:eastAsia="方正小标宋_GBK" w:cs="方正小标宋_GBK"/>
          <w:color w:val="333333"/>
          <w:sz w:val="36"/>
          <w:szCs w:val="36"/>
          <w:shd w:val="clear" w:fill="FFFFFF"/>
          <w:lang w:eastAsia="zh-CN"/>
        </w:rPr>
      </w:pPr>
      <w:r>
        <w:rPr>
          <w:rFonts w:hint="eastAsia" w:ascii="方正小标宋_GBK" w:hAnsi="方正小标宋_GBK" w:eastAsia="方正小标宋_GBK" w:cs="方正小标宋_GBK"/>
          <w:color w:val="333333"/>
          <w:sz w:val="36"/>
          <w:szCs w:val="36"/>
          <w:shd w:val="clear" w:fill="FFFFFF"/>
          <w:lang w:eastAsia="zh-CN"/>
        </w:rPr>
        <w:t>“全闽乐购 惠聚榕城”文旅乐购券促消费活动</w:t>
      </w:r>
    </w:p>
    <w:p>
      <w:pPr>
        <w:keepNext w:val="0"/>
        <w:keepLines w:val="0"/>
        <w:pageBreakBefore w:val="0"/>
        <w:widowControl/>
        <w:kinsoku/>
        <w:wordWrap/>
        <w:overflowPunct/>
        <w:topLinePunct w:val="0"/>
        <w:autoSpaceDE/>
        <w:autoSpaceDN/>
        <w:bidi w:val="0"/>
        <w:adjustRightInd/>
        <w:snapToGrid/>
        <w:spacing w:before="313" w:beforeLines="100" w:line="240" w:lineRule="auto"/>
        <w:ind w:right="0" w:rightChars="0"/>
        <w:jc w:val="center"/>
        <w:textAlignment w:val="auto"/>
        <w:outlineLvl w:val="9"/>
        <w:rPr>
          <w:rFonts w:hint="eastAsia" w:ascii="方正小标宋_GBK" w:hAnsi="方正小标宋_GBK" w:eastAsia="方正小标宋_GBK" w:cs="方正小标宋_GBK"/>
          <w:color w:val="333333"/>
          <w:sz w:val="36"/>
          <w:szCs w:val="36"/>
          <w:shd w:val="clear" w:fill="FFFFFF"/>
          <w:lang w:eastAsia="zh-CN"/>
        </w:rPr>
      </w:pPr>
      <w:r>
        <w:rPr>
          <w:rFonts w:hint="eastAsia" w:ascii="方正小标宋_GBK" w:hAnsi="方正小标宋_GBK" w:eastAsia="方正小标宋_GBK" w:cs="方正小标宋_GBK"/>
          <w:color w:val="333333"/>
          <w:sz w:val="36"/>
          <w:szCs w:val="36"/>
          <w:shd w:val="clear" w:fill="FFFFFF"/>
          <w:lang w:eastAsia="zh-CN"/>
        </w:rPr>
        <w:t>发</w:t>
      </w:r>
      <w:bookmarkStart w:id="0" w:name="_GoBack"/>
      <w:bookmarkEnd w:id="0"/>
      <w:r>
        <w:rPr>
          <w:rFonts w:hint="eastAsia" w:ascii="方正小标宋_GBK" w:hAnsi="方正小标宋_GBK" w:eastAsia="方正小标宋_GBK" w:cs="方正小标宋_GBK"/>
          <w:color w:val="333333"/>
          <w:sz w:val="36"/>
          <w:szCs w:val="36"/>
          <w:shd w:val="clear" w:fill="FFFFFF"/>
          <w:lang w:eastAsia="zh-CN"/>
        </w:rPr>
        <w:t>放资金审计工作工作要求</w:t>
      </w:r>
    </w:p>
    <w:p>
      <w:pPr>
        <w:keepNext w:val="0"/>
        <w:keepLines w:val="0"/>
        <w:pageBreakBefore w:val="0"/>
        <w:widowControl/>
        <w:kinsoku/>
        <w:wordWrap/>
        <w:overflowPunct/>
        <w:topLinePunct w:val="0"/>
        <w:autoSpaceDE/>
        <w:autoSpaceDN/>
        <w:bidi w:val="0"/>
        <w:adjustRightInd/>
        <w:snapToGrid/>
        <w:spacing w:before="313" w:beforeLines="100" w:line="240" w:lineRule="auto"/>
        <w:ind w:left="0" w:leftChars="0" w:right="0" w:rightChars="0" w:firstLine="627" w:firstLineChars="196"/>
        <w:jc w:val="left"/>
        <w:textAlignment w:val="auto"/>
        <w:outlineLvl w:val="9"/>
        <w:rPr>
          <w:rFonts w:hint="eastAsia" w:ascii="黑体" w:hAnsi="仿宋" w:eastAsia="黑体"/>
          <w:sz w:val="32"/>
          <w:szCs w:val="32"/>
        </w:rPr>
      </w:pPr>
      <w:r>
        <w:rPr>
          <w:rFonts w:hint="eastAsia" w:ascii="黑体" w:hAnsi="仿宋" w:eastAsia="黑体"/>
          <w:sz w:val="32"/>
          <w:szCs w:val="32"/>
        </w:rPr>
        <w:t>一、审计对象</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福州市文化和旅游局2020-2021年依托云闪付平台开展“全闽乐购 惠聚榕城”文旅乐购券促消费活动所投入的财政资金使用及核销情况，并核算出省市县三级财政对应承担费用。（五城区（不含长乐区）按照省级财政、市级财政、五城区财政1：1：1比例配比；其他县（市）区按照省级财政、其他县（市）区财政1：2比例配比）</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right="0" w:rightChars="0" w:firstLine="640" w:firstLineChars="200"/>
        <w:textAlignment w:val="auto"/>
        <w:outlineLvl w:val="9"/>
        <w:rPr>
          <w:rFonts w:hint="eastAsia" w:ascii="黑体" w:hAnsi="仿宋" w:eastAsia="黑体"/>
          <w:sz w:val="32"/>
          <w:szCs w:val="32"/>
        </w:rPr>
      </w:pPr>
      <w:r>
        <w:rPr>
          <w:rFonts w:hint="eastAsia" w:ascii="黑体" w:hAnsi="仿宋" w:eastAsia="黑体"/>
          <w:sz w:val="32"/>
          <w:szCs w:val="32"/>
        </w:rPr>
        <w:t>二、审计时间</w:t>
      </w:r>
    </w:p>
    <w:p>
      <w:pPr>
        <w:keepNext w:val="0"/>
        <w:keepLines w:val="0"/>
        <w:pageBreakBefore w:val="0"/>
        <w:widowControl w:val="0"/>
        <w:kinsoku/>
        <w:wordWrap/>
        <w:overflowPunct/>
        <w:topLinePunct w:val="0"/>
        <w:autoSpaceDE/>
        <w:autoSpaceDN/>
        <w:bidi w:val="0"/>
        <w:adjustRightInd/>
        <w:snapToGrid/>
        <w:spacing w:line="23" w:lineRule="atLeas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承接专项审计工作的会计师事务所须</w:t>
      </w:r>
      <w:r>
        <w:rPr>
          <w:rFonts w:hint="eastAsia" w:ascii="仿宋_GB2312" w:hAnsi="仿宋_GB2312" w:eastAsia="仿宋_GB2312" w:cs="仿宋_GB2312"/>
          <w:sz w:val="32"/>
          <w:szCs w:val="32"/>
          <w:lang w:eastAsia="zh-CN"/>
        </w:rPr>
        <w:t>分别</w:t>
      </w:r>
      <w:r>
        <w:rPr>
          <w:rFonts w:hint="eastAsia" w:ascii="仿宋_GB2312" w:hAnsi="仿宋_GB2312" w:eastAsia="仿宋_GB2312" w:cs="仿宋_GB2312"/>
          <w:sz w:val="32"/>
          <w:szCs w:val="32"/>
        </w:rPr>
        <w:t>于</w:t>
      </w:r>
      <w:r>
        <w:rPr>
          <w:rFonts w:hint="eastAsia" w:ascii="仿宋_GB2312" w:hAnsi="仿宋_GB2312" w:eastAsia="仿宋_GB2312" w:cs="仿宋_GB2312"/>
          <w:sz w:val="32"/>
          <w:szCs w:val="32"/>
          <w:lang w:eastAsia="zh-CN"/>
        </w:rPr>
        <w:t>合同签订之日起</w:t>
      </w:r>
      <w:r>
        <w:rPr>
          <w:rFonts w:hint="eastAsia" w:ascii="仿宋_GB2312" w:hAnsi="仿宋_GB2312" w:eastAsia="仿宋_GB2312" w:cs="仿宋_GB2312"/>
          <w:sz w:val="32"/>
          <w:szCs w:val="32"/>
          <w:lang w:val="en-US" w:eastAsia="zh-CN"/>
        </w:rPr>
        <w:t>20个工作日内</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eastAsia="zh-CN"/>
        </w:rPr>
        <w:t>审计对象的现场专项审计，</w:t>
      </w:r>
      <w:r>
        <w:rPr>
          <w:rFonts w:hint="eastAsia" w:ascii="仿宋_GB2312" w:hAnsi="仿宋_GB2312" w:eastAsia="仿宋_GB2312" w:cs="仿宋_GB2312"/>
          <w:sz w:val="32"/>
          <w:szCs w:val="32"/>
          <w:lang w:val="en-US" w:eastAsia="zh-CN"/>
        </w:rPr>
        <w:t>并出具专项审计报告报送我局。</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627" w:firstLineChars="196"/>
        <w:textAlignment w:val="auto"/>
        <w:outlineLvl w:val="9"/>
        <w:rPr>
          <w:rFonts w:hint="eastAsia" w:ascii="黑体" w:hAnsi="仿宋" w:eastAsia="黑体"/>
          <w:sz w:val="32"/>
          <w:szCs w:val="32"/>
        </w:rPr>
      </w:pPr>
      <w:r>
        <w:rPr>
          <w:rFonts w:hint="eastAsia" w:ascii="黑体" w:hAnsi="仿宋" w:eastAsia="黑体"/>
          <w:sz w:val="32"/>
          <w:szCs w:val="32"/>
        </w:rPr>
        <w:t>三、审计内容</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textAlignment w:val="auto"/>
        <w:outlineLvl w:val="9"/>
        <w:rPr>
          <w:rFonts w:hint="eastAsia" w:ascii="楷体" w:hAnsi="楷体" w:eastAsia="楷体"/>
          <w:b/>
          <w:sz w:val="32"/>
          <w:szCs w:val="32"/>
        </w:rPr>
      </w:pPr>
      <w:r>
        <w:rPr>
          <w:rFonts w:hint="eastAsia" w:ascii="楷体" w:hAnsi="楷体" w:eastAsia="楷体"/>
          <w:sz w:val="32"/>
          <w:szCs w:val="32"/>
        </w:rPr>
        <w:t xml:space="preserve"> </w:t>
      </w:r>
      <w:r>
        <w:rPr>
          <w:rFonts w:hint="eastAsia" w:ascii="楷体" w:hAnsi="楷体" w:eastAsia="楷体"/>
          <w:b/>
          <w:sz w:val="32"/>
          <w:szCs w:val="32"/>
        </w:rPr>
        <w:t xml:space="preserve">  （一）审计依据</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依据《关于印发&lt;福州市消费促进工作方案&gt;和&lt;“全闽乐购 惠聚榕城”专项活动方案&gt;的通知》、《“全闽乐购 惠聚榕城”文旅乐购券促消费活动方案》、福州市文旅局与中国银联福建分公司签订的《福州市“文旅乐购券”发放合作协议》等相关文件材料，对福州市文化和旅游局在2020-2021年依托云闪付平台发放文旅消费券所投入的财政资金使用及核销情况。</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right="0" w:rightChars="0" w:firstLine="643" w:firstLineChars="200"/>
        <w:textAlignment w:val="auto"/>
        <w:outlineLvl w:val="9"/>
        <w:rPr>
          <w:rFonts w:hint="eastAsia"/>
        </w:rPr>
      </w:pPr>
      <w:r>
        <w:rPr>
          <w:rFonts w:hint="eastAsia" w:ascii="楷体" w:hAnsi="楷体" w:eastAsia="楷体"/>
          <w:b/>
          <w:sz w:val="32"/>
          <w:szCs w:val="32"/>
        </w:rPr>
        <w:t>（二）</w:t>
      </w:r>
      <w:r>
        <w:rPr>
          <w:rFonts w:hint="eastAsia" w:ascii="楷体" w:hAnsi="楷体" w:eastAsia="楷体"/>
          <w:b/>
          <w:sz w:val="32"/>
          <w:szCs w:val="32"/>
          <w:lang w:val="en-US" w:eastAsia="zh-CN"/>
        </w:rPr>
        <w:t>“全闽乐购 惠聚榕城”文旅乐购券促消费活动发放资金基本情况</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2020年11月26日至2021年4月25日期间，“全闽乐购 惠聚榕城”福州市文旅乐购券共发放4期文旅乐购券，合计发券60万张，其中满160立减100元乐购券4万张、满100立减50元乐购券16万张、满50立减20元乐购券40万张，涉及券面金额2000万元、实际活动金额800万元。活动期间，领券率为100%，申领金额2000万元，累计核销金额572.91万元，活动出奖商户590户，直接撬动交易金额 1382.39万元，直接杠杆率2.41，实际资金使用572. 906685万元，剩余资金227. 093315万元，资金使用率71.61%。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yYTc5YjllZjFhMTBhMjc0MmU3YzQ2OGEyZmQ3YWMifQ=="/>
  </w:docVars>
  <w:rsids>
    <w:rsidRoot w:val="4382324B"/>
    <w:rsid w:val="43823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648</Words>
  <Characters>734</Characters>
  <Lines>0</Lines>
  <Paragraphs>0</Paragraphs>
  <TotalTime>1</TotalTime>
  <ScaleCrop>false</ScaleCrop>
  <LinksUpToDate>false</LinksUpToDate>
  <CharactersWithSpaces>746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2023-02-24T07:52:00Z</dcterms:created>
  <dc:creator>CE.奕</dc:creator>
  <cp:lastModifiedBy>CE.奕</cp:lastModifiedBy>
  <dcterms:modified xsi:type="dcterms:W3CDTF">2023-02-24T07:53:57Z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67D60C3EF3FD4B1C8ADED4805B8FA5E7</vt:lpwstr>
  </property>
</Properties>
</file>