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DEB20">
      <w:pPr>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14:paraId="5C31F126">
      <w:pPr>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202</w:t>
      </w:r>
      <w:r>
        <w:rPr>
          <w:rFonts w:hint="eastAsia" w:ascii="方正小标宋_GBK" w:hAnsi="方正小标宋_GBK" w:eastAsia="方正小标宋_GBK" w:cs="方正小标宋_GBK"/>
          <w:color w:val="auto"/>
          <w:sz w:val="36"/>
          <w:szCs w:val="36"/>
          <w:lang w:val="en-US" w:eastAsia="zh-CN"/>
        </w:rPr>
        <w:t>5</w:t>
      </w:r>
      <w:r>
        <w:rPr>
          <w:rFonts w:hint="eastAsia" w:ascii="方正小标宋_GBK" w:hAnsi="方正小标宋_GBK" w:eastAsia="方正小标宋_GBK" w:cs="方正小标宋_GBK"/>
          <w:color w:val="auto"/>
          <w:sz w:val="36"/>
          <w:szCs w:val="36"/>
        </w:rPr>
        <w:t>年福州市</w:t>
      </w:r>
      <w:r>
        <w:rPr>
          <w:rFonts w:hint="eastAsia" w:ascii="方正小标宋_GBK" w:hAnsi="方正小标宋_GBK" w:eastAsia="方正小标宋_GBK" w:cs="方正小标宋_GBK"/>
          <w:color w:val="auto"/>
          <w:sz w:val="36"/>
          <w:szCs w:val="36"/>
          <w:lang w:eastAsia="zh-CN"/>
        </w:rPr>
        <w:t>文化和旅游局</w:t>
      </w:r>
      <w:r>
        <w:rPr>
          <w:rFonts w:hint="eastAsia" w:ascii="方正小标宋_GBK" w:hAnsi="方正小标宋_GBK" w:eastAsia="方正小标宋_GBK" w:cs="方正小标宋_GBK"/>
          <w:color w:val="auto"/>
          <w:sz w:val="36"/>
          <w:szCs w:val="36"/>
        </w:rPr>
        <w:t>跨部门“双随机</w:t>
      </w:r>
      <w:r>
        <w:rPr>
          <w:rFonts w:hint="eastAsia" w:ascii="方正小标宋_GBK" w:hAnsi="方正小标宋_GBK" w:eastAsia="方正小标宋_GBK" w:cs="方正小标宋_GBK"/>
          <w:color w:val="auto"/>
          <w:sz w:val="36"/>
          <w:szCs w:val="36"/>
          <w:lang w:eastAsia="zh-CN"/>
        </w:rPr>
        <w:t>、</w:t>
      </w:r>
      <w:r>
        <w:rPr>
          <w:rFonts w:hint="eastAsia" w:ascii="方正小标宋_GBK" w:hAnsi="方正小标宋_GBK" w:eastAsia="方正小标宋_GBK" w:cs="方正小标宋_GBK"/>
          <w:color w:val="auto"/>
          <w:sz w:val="36"/>
          <w:szCs w:val="36"/>
        </w:rPr>
        <w:t>一公开”抽查</w:t>
      </w:r>
      <w:r>
        <w:rPr>
          <w:rFonts w:hint="eastAsia" w:ascii="方正小标宋_GBK" w:hAnsi="方正小标宋_GBK" w:eastAsia="方正小标宋_GBK" w:cs="方正小标宋_GBK"/>
          <w:color w:val="auto"/>
          <w:sz w:val="36"/>
          <w:szCs w:val="36"/>
          <w:lang w:eastAsia="zh-CN"/>
        </w:rPr>
        <w:t>事项清单</w:t>
      </w:r>
    </w:p>
    <w:p w14:paraId="00E97AB1">
      <w:pPr>
        <w:jc w:val="left"/>
        <w:rPr>
          <w:rFonts w:hint="eastAsia" w:ascii="黑体" w:hAnsi="黑体" w:eastAsia="黑体" w:cs="黑体"/>
          <w:color w:val="auto"/>
          <w:sz w:val="32"/>
          <w:szCs w:val="32"/>
          <w:lang w:val="en-US" w:eastAsia="zh-CN"/>
        </w:rPr>
      </w:pPr>
    </w:p>
    <w:tbl>
      <w:tblPr>
        <w:tblStyle w:val="5"/>
        <w:tblW w:w="14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960"/>
        <w:gridCol w:w="721"/>
        <w:gridCol w:w="734"/>
        <w:gridCol w:w="1092"/>
        <w:gridCol w:w="1173"/>
        <w:gridCol w:w="585"/>
        <w:gridCol w:w="4905"/>
        <w:gridCol w:w="735"/>
        <w:gridCol w:w="1288"/>
        <w:gridCol w:w="1272"/>
      </w:tblGrid>
      <w:tr w14:paraId="025D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14:paraId="143D946D">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序号</w:t>
            </w:r>
          </w:p>
        </w:tc>
        <w:tc>
          <w:tcPr>
            <w:tcW w:w="960" w:type="dxa"/>
            <w:vAlign w:val="center"/>
          </w:tcPr>
          <w:p w14:paraId="5E48297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抽查任务名称</w:t>
            </w:r>
          </w:p>
        </w:tc>
        <w:tc>
          <w:tcPr>
            <w:tcW w:w="721" w:type="dxa"/>
            <w:vAlign w:val="center"/>
          </w:tcPr>
          <w:p w14:paraId="1EA6BA3E">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牵头单位</w:t>
            </w:r>
          </w:p>
        </w:tc>
        <w:tc>
          <w:tcPr>
            <w:tcW w:w="734" w:type="dxa"/>
            <w:vAlign w:val="center"/>
          </w:tcPr>
          <w:p w14:paraId="776AC958">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配合</w:t>
            </w:r>
          </w:p>
          <w:p w14:paraId="0455A95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单位</w:t>
            </w:r>
          </w:p>
        </w:tc>
        <w:tc>
          <w:tcPr>
            <w:tcW w:w="1092" w:type="dxa"/>
            <w:vAlign w:val="center"/>
          </w:tcPr>
          <w:p w14:paraId="3298FD2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抽查区域（全市</w:t>
            </w:r>
            <w:r>
              <w:rPr>
                <w:rFonts w:hint="eastAsia" w:ascii="黑体" w:hAnsi="黑体" w:eastAsia="黑体" w:cs="黑体"/>
                <w:bCs/>
                <w:color w:val="auto"/>
                <w:sz w:val="18"/>
                <w:szCs w:val="18"/>
                <w:shd w:val="clear" w:color="000000" w:fill="auto"/>
                <w:vertAlign w:val="baseline"/>
                <w:lang w:val="en-US" w:eastAsia="zh-CN"/>
              </w:rPr>
              <w:t>/部分县市区</w:t>
            </w:r>
            <w:r>
              <w:rPr>
                <w:rFonts w:hint="eastAsia" w:ascii="黑体" w:hAnsi="黑体" w:eastAsia="黑体" w:cs="黑体"/>
                <w:bCs/>
                <w:color w:val="auto"/>
                <w:sz w:val="18"/>
                <w:szCs w:val="18"/>
                <w:shd w:val="clear" w:color="000000" w:fill="auto"/>
                <w:vertAlign w:val="baseline"/>
                <w:lang w:eastAsia="zh-CN"/>
              </w:rPr>
              <w:t>）</w:t>
            </w:r>
          </w:p>
        </w:tc>
        <w:tc>
          <w:tcPr>
            <w:tcW w:w="1173" w:type="dxa"/>
            <w:vAlign w:val="center"/>
          </w:tcPr>
          <w:p w14:paraId="2CD2EFED">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抽查对象（行业企业、产品、项目等）</w:t>
            </w:r>
          </w:p>
        </w:tc>
        <w:tc>
          <w:tcPr>
            <w:tcW w:w="585" w:type="dxa"/>
            <w:vAlign w:val="center"/>
          </w:tcPr>
          <w:p w14:paraId="1037B870">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抽查</w:t>
            </w:r>
          </w:p>
          <w:p w14:paraId="34E1BAA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比例</w:t>
            </w:r>
          </w:p>
        </w:tc>
        <w:tc>
          <w:tcPr>
            <w:tcW w:w="4905" w:type="dxa"/>
            <w:vAlign w:val="center"/>
          </w:tcPr>
          <w:p w14:paraId="39977DC3">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检查具体事项</w:t>
            </w:r>
          </w:p>
        </w:tc>
        <w:tc>
          <w:tcPr>
            <w:tcW w:w="735" w:type="dxa"/>
            <w:vAlign w:val="center"/>
          </w:tcPr>
          <w:p w14:paraId="14A1AF63">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抽查依据</w:t>
            </w:r>
          </w:p>
        </w:tc>
        <w:tc>
          <w:tcPr>
            <w:tcW w:w="1288" w:type="dxa"/>
            <w:vAlign w:val="center"/>
          </w:tcPr>
          <w:p w14:paraId="0E56B81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计划抽查</w:t>
            </w:r>
          </w:p>
          <w:p w14:paraId="3060567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时间</w:t>
            </w:r>
          </w:p>
        </w:tc>
        <w:tc>
          <w:tcPr>
            <w:tcW w:w="1272" w:type="dxa"/>
            <w:vAlign w:val="center"/>
          </w:tcPr>
          <w:p w14:paraId="34AA4C4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实施单位</w:t>
            </w:r>
          </w:p>
        </w:tc>
      </w:tr>
      <w:tr w14:paraId="1A16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top"/>
          </w:tcPr>
          <w:p w14:paraId="411F6FEA">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w:t>
            </w:r>
          </w:p>
        </w:tc>
        <w:tc>
          <w:tcPr>
            <w:tcW w:w="960" w:type="dxa"/>
            <w:vAlign w:val="top"/>
          </w:tcPr>
          <w:p w14:paraId="0E6B4542">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经营性互联网文化单位</w:t>
            </w:r>
          </w:p>
        </w:tc>
        <w:tc>
          <w:tcPr>
            <w:tcW w:w="721" w:type="dxa"/>
            <w:vAlign w:val="top"/>
          </w:tcPr>
          <w:p w14:paraId="5803C826">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市文旅局</w:t>
            </w:r>
          </w:p>
        </w:tc>
        <w:tc>
          <w:tcPr>
            <w:tcW w:w="734" w:type="dxa"/>
            <w:vAlign w:val="top"/>
          </w:tcPr>
          <w:p w14:paraId="0035DD8E">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公安部门、税务部门</w:t>
            </w:r>
          </w:p>
        </w:tc>
        <w:tc>
          <w:tcPr>
            <w:tcW w:w="1092" w:type="dxa"/>
            <w:vAlign w:val="top"/>
          </w:tcPr>
          <w:p w14:paraId="53572342">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福州市</w:t>
            </w:r>
          </w:p>
        </w:tc>
        <w:tc>
          <w:tcPr>
            <w:tcW w:w="1173" w:type="dxa"/>
            <w:vAlign w:val="top"/>
          </w:tcPr>
          <w:p w14:paraId="50A44022">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营业性演出从业单位</w:t>
            </w:r>
          </w:p>
        </w:tc>
        <w:tc>
          <w:tcPr>
            <w:tcW w:w="585" w:type="dxa"/>
            <w:vAlign w:val="top"/>
          </w:tcPr>
          <w:p w14:paraId="341F717D">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w:t>
            </w:r>
          </w:p>
        </w:tc>
        <w:tc>
          <w:tcPr>
            <w:tcW w:w="4905" w:type="dxa"/>
            <w:vAlign w:val="top"/>
          </w:tcPr>
          <w:p w14:paraId="3CBFAC32">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文化和旅游部门：</w:t>
            </w:r>
          </w:p>
          <w:p w14:paraId="24721B87">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一、是否未经批准，擅自从事经营性互联网文化活动。</w:t>
            </w:r>
          </w:p>
          <w:p w14:paraId="715AD908">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二、经营性互联网文化单位是否违反《互联网文化管理暂行规定》有关规定：1.是否违反本规定第十条，逾期未办理备案手续；2.是否违反《互联网文化管理暂行规定》第十二条、第十三条有关内容；3.是否违反第十五条，经营进口互联网文化产品未在其显著位置标明批准文号、经营国产互联网文化产品未在其显著位置标明备案编号；4.是否违反本规定第十五条，擅自变更进口互联网文化产品的名称或者增删内容；5.是否违反本规定第十五条，经营国产互联网文化产品逾期未报文化行政部门备案；6.是否提供含有本规定第十六条禁止内容的互联网文化产品，或者提供未经批准进口的互联网文化产品。</w:t>
            </w:r>
          </w:p>
          <w:p w14:paraId="1B656FDB">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税务部门：</w:t>
            </w:r>
          </w:p>
          <w:p w14:paraId="4A41AAEA">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是否照章纳税。</w:t>
            </w:r>
          </w:p>
          <w:p w14:paraId="0C7CE4AA">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5"/>
                <w:szCs w:val="15"/>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公安部门：</w:t>
            </w:r>
          </w:p>
          <w:p w14:paraId="52481572">
            <w:pPr>
              <w:keepNext w:val="0"/>
              <w:keepLines w:val="0"/>
              <w:pageBreakBefore w:val="0"/>
              <w:widowControl/>
              <w:kinsoku/>
              <w:wordWrap/>
              <w:overflowPunct/>
              <w:topLinePunct w:val="0"/>
              <w:autoSpaceDE/>
              <w:autoSpaceDN/>
              <w:bidi w:val="0"/>
              <w:adjustRightInd/>
              <w:snapToGrid/>
              <w:spacing w:line="16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rPr>
            </w:pPr>
            <w:r>
              <w:rPr>
                <w:rFonts w:hint="eastAsia" w:ascii="黑体" w:hAnsi="黑体" w:eastAsia="黑体" w:cs="黑体"/>
                <w:bCs/>
                <w:color w:val="auto"/>
                <w:sz w:val="15"/>
                <w:szCs w:val="15"/>
                <w:shd w:val="clear" w:color="000000" w:fill="auto"/>
                <w:vertAlign w:val="baseline"/>
                <w:lang w:val="en-US" w:eastAsia="zh-CN"/>
              </w:rPr>
              <w:t>依法处置文旅部门抄送的涉及公安部门职责的违法违规行为。</w:t>
            </w:r>
          </w:p>
        </w:tc>
        <w:tc>
          <w:tcPr>
            <w:tcW w:w="735" w:type="dxa"/>
            <w:vAlign w:val="top"/>
          </w:tcPr>
          <w:p w14:paraId="77D11AB6">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5"/>
                <w:szCs w:val="15"/>
                <w:shd w:val="clear" w:color="000000" w:fill="auto"/>
                <w:vertAlign w:val="baseline"/>
                <w:lang w:val="en-US" w:eastAsia="zh-CN"/>
              </w:rPr>
              <w:t>《互联网文化管理暂行规定》</w:t>
            </w:r>
          </w:p>
        </w:tc>
        <w:tc>
          <w:tcPr>
            <w:tcW w:w="1288" w:type="dxa"/>
            <w:vAlign w:val="top"/>
          </w:tcPr>
          <w:p w14:paraId="6EA9B4B7">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val="en-US" w:eastAsia="zh-CN"/>
              </w:rPr>
              <w:t>全年</w:t>
            </w:r>
          </w:p>
        </w:tc>
        <w:tc>
          <w:tcPr>
            <w:tcW w:w="1272" w:type="dxa"/>
            <w:vAlign w:val="top"/>
          </w:tcPr>
          <w:p w14:paraId="39861171">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市文旅、公安部门，市税务稽查局</w:t>
            </w:r>
          </w:p>
        </w:tc>
      </w:tr>
      <w:tr w14:paraId="4496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top"/>
          </w:tcPr>
          <w:p w14:paraId="0F59C213">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w:t>
            </w:r>
          </w:p>
        </w:tc>
        <w:tc>
          <w:tcPr>
            <w:tcW w:w="960" w:type="dxa"/>
            <w:vAlign w:val="top"/>
          </w:tcPr>
          <w:p w14:paraId="7676F7E0">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营利性文化艺术类  教育培训机构</w:t>
            </w:r>
          </w:p>
        </w:tc>
        <w:tc>
          <w:tcPr>
            <w:tcW w:w="721" w:type="dxa"/>
            <w:vAlign w:val="top"/>
          </w:tcPr>
          <w:p w14:paraId="5A528DE5">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市文旅局</w:t>
            </w:r>
          </w:p>
        </w:tc>
        <w:tc>
          <w:tcPr>
            <w:tcW w:w="734" w:type="dxa"/>
            <w:vAlign w:val="top"/>
          </w:tcPr>
          <w:p w14:paraId="18C22A36">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市教育、市场监管、住建、消防救援部门</w:t>
            </w:r>
          </w:p>
        </w:tc>
        <w:tc>
          <w:tcPr>
            <w:tcW w:w="1092" w:type="dxa"/>
            <w:vAlign w:val="top"/>
          </w:tcPr>
          <w:p w14:paraId="2DAD6ED9">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福州市</w:t>
            </w:r>
          </w:p>
        </w:tc>
        <w:tc>
          <w:tcPr>
            <w:tcW w:w="1173" w:type="dxa"/>
            <w:vAlign w:val="top"/>
          </w:tcPr>
          <w:p w14:paraId="45D91F70">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艺术品经营单位</w:t>
            </w:r>
          </w:p>
        </w:tc>
        <w:tc>
          <w:tcPr>
            <w:tcW w:w="585" w:type="dxa"/>
            <w:vAlign w:val="top"/>
          </w:tcPr>
          <w:p w14:paraId="368EB978">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由文旅部门 确定</w:t>
            </w:r>
          </w:p>
        </w:tc>
        <w:tc>
          <w:tcPr>
            <w:tcW w:w="4905" w:type="dxa"/>
            <w:vAlign w:val="top"/>
          </w:tcPr>
          <w:p w14:paraId="31B06A89">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科技部门：</w:t>
            </w:r>
          </w:p>
          <w:p w14:paraId="4208D6A9">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检查科技类校外培训机构准入证照、预收费资金托管账户情况、培训场地、培训内容、培训班次、招生对象、内部管理。</w:t>
            </w:r>
          </w:p>
          <w:p w14:paraId="7148ED9A">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市场监管部门：</w:t>
            </w:r>
          </w:p>
          <w:p w14:paraId="34EFC120">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1.检查是否存在价格违法行为；</w:t>
            </w:r>
          </w:p>
          <w:p w14:paraId="024FF25C">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2.检查是否存在虚假违法广告</w:t>
            </w:r>
          </w:p>
          <w:p w14:paraId="36AB5DB4">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3.是否利用格式合同侵害消费者合法权益。</w:t>
            </w:r>
          </w:p>
          <w:p w14:paraId="41228277">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住房保障和房产管理部门：</w:t>
            </w:r>
          </w:p>
          <w:p w14:paraId="0ECD93E8">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培训机构开展经营的房屋使用中是否存在房屋结构安全隐患。</w:t>
            </w:r>
          </w:p>
          <w:p w14:paraId="727C37AE">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消防救援部门：</w:t>
            </w:r>
          </w:p>
          <w:p w14:paraId="1C3DB14E">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1.消防安全主体责任落实情况；2.消防设施器材情况；3.建筑防火和安全疏散情况；4.其他依法需要检查的内容。</w:t>
            </w:r>
          </w:p>
          <w:p w14:paraId="013F1ACC">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部门共同职责：指导校外培训机构经营者加强数字人民币应用。</w:t>
            </w:r>
          </w:p>
        </w:tc>
        <w:tc>
          <w:tcPr>
            <w:tcW w:w="735" w:type="dxa"/>
            <w:vAlign w:val="top"/>
          </w:tcPr>
          <w:p w14:paraId="2E4F45A4">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 xml:space="preserve">依据：福建省文化和旅游厅等六部门关于印发《福建省文化艺术类校外培训机构准入指导意见》的通知（闽文旅规文〔2025〕1号 </w:t>
            </w:r>
          </w:p>
          <w:p w14:paraId="289ED034">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）、《校外培训行政处罚暂行办法》</w:t>
            </w:r>
          </w:p>
        </w:tc>
        <w:tc>
          <w:tcPr>
            <w:tcW w:w="1288" w:type="dxa"/>
            <w:vAlign w:val="top"/>
          </w:tcPr>
          <w:p w14:paraId="48940259">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全年</w:t>
            </w:r>
          </w:p>
        </w:tc>
        <w:tc>
          <w:tcPr>
            <w:tcW w:w="1272" w:type="dxa"/>
            <w:vAlign w:val="top"/>
          </w:tcPr>
          <w:p w14:paraId="7EA7C6AD">
            <w:pPr>
              <w:keepNext w:val="0"/>
              <w:keepLines w:val="0"/>
              <w:pageBreakBefore w:val="0"/>
              <w:widowControl/>
              <w:kinsoku/>
              <w:wordWrap/>
              <w:overflowPunct/>
              <w:topLinePunct w:val="0"/>
              <w:autoSpaceDE/>
              <w:autoSpaceDN/>
              <w:bidi w:val="0"/>
              <w:adjustRightInd/>
              <w:snapToGrid/>
              <w:spacing w:line="22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市文旅局、市场监管领域相关部门</w:t>
            </w:r>
          </w:p>
        </w:tc>
      </w:tr>
      <w:tr w14:paraId="3391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top"/>
          </w:tcPr>
          <w:p w14:paraId="12808C7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3</w:t>
            </w:r>
          </w:p>
        </w:tc>
        <w:tc>
          <w:tcPr>
            <w:tcW w:w="960" w:type="dxa"/>
            <w:vAlign w:val="top"/>
          </w:tcPr>
          <w:p w14:paraId="0B632A84">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旅行社行业监管</w:t>
            </w:r>
          </w:p>
        </w:tc>
        <w:tc>
          <w:tcPr>
            <w:tcW w:w="721" w:type="dxa"/>
            <w:vAlign w:val="top"/>
          </w:tcPr>
          <w:p w14:paraId="4DC99939">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市文旅局</w:t>
            </w:r>
          </w:p>
        </w:tc>
        <w:tc>
          <w:tcPr>
            <w:tcW w:w="734" w:type="dxa"/>
            <w:vAlign w:val="top"/>
          </w:tcPr>
          <w:p w14:paraId="2265D325">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市场监管   部门</w:t>
            </w:r>
          </w:p>
        </w:tc>
        <w:tc>
          <w:tcPr>
            <w:tcW w:w="1092" w:type="dxa"/>
            <w:vAlign w:val="top"/>
          </w:tcPr>
          <w:p w14:paraId="668FE464">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部分县市区</w:t>
            </w:r>
          </w:p>
        </w:tc>
        <w:tc>
          <w:tcPr>
            <w:tcW w:w="1173" w:type="dxa"/>
            <w:vAlign w:val="top"/>
          </w:tcPr>
          <w:p w14:paraId="62EA4F30">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旅行社</w:t>
            </w:r>
          </w:p>
        </w:tc>
        <w:tc>
          <w:tcPr>
            <w:tcW w:w="585" w:type="dxa"/>
            <w:vAlign w:val="top"/>
          </w:tcPr>
          <w:p w14:paraId="028BC157">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w:t>
            </w:r>
          </w:p>
        </w:tc>
        <w:tc>
          <w:tcPr>
            <w:tcW w:w="4905" w:type="dxa"/>
            <w:vAlign w:val="top"/>
          </w:tcPr>
          <w:p w14:paraId="6A8705E8">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旅行社取得许可证情况和经营情况的检查：</w:t>
            </w:r>
          </w:p>
          <w:p w14:paraId="5BDDBDB2">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1.经营旅行社业务以及从事导游、领队服务是否取得经营、执业许可；</w:t>
            </w:r>
          </w:p>
          <w:p w14:paraId="0E73FBB6">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2.旅行社的经营行为；</w:t>
            </w:r>
          </w:p>
          <w:p w14:paraId="2962477B">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3.导游和领队等旅游从业人员的服务行为。</w:t>
            </w:r>
          </w:p>
          <w:p w14:paraId="747FD615">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市场监管部门：</w:t>
            </w:r>
          </w:p>
          <w:p w14:paraId="1D392F7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1.企业年报信息、即时公示信息；</w:t>
            </w:r>
          </w:p>
          <w:p w14:paraId="3A274AC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2.登记事项。</w:t>
            </w:r>
          </w:p>
        </w:tc>
        <w:tc>
          <w:tcPr>
            <w:tcW w:w="735" w:type="dxa"/>
            <w:vAlign w:val="top"/>
          </w:tcPr>
          <w:p w14:paraId="0115A49F">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《中华人民共和国旅游法》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《福建省旅游条例》</w:t>
            </w:r>
            <w:r>
              <w:rPr>
                <w:rFonts w:hint="eastAsia" w:ascii="黑体" w:hAnsi="黑体" w:eastAsia="黑体" w:cs="黑体"/>
                <w:i w:val="0"/>
                <w:color w:val="auto"/>
                <w:kern w:val="0"/>
                <w:sz w:val="18"/>
                <w:szCs w:val="18"/>
                <w:u w:val="none"/>
                <w:lang w:val="en-US" w:eastAsia="zh-CN" w:bidi="ar"/>
              </w:rPr>
              <w:br w:type="textWrapping"/>
            </w:r>
          </w:p>
        </w:tc>
        <w:tc>
          <w:tcPr>
            <w:tcW w:w="1288" w:type="dxa"/>
            <w:vAlign w:val="top"/>
          </w:tcPr>
          <w:p w14:paraId="0D6892D5">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全年</w:t>
            </w:r>
          </w:p>
        </w:tc>
        <w:tc>
          <w:tcPr>
            <w:tcW w:w="1272" w:type="dxa"/>
            <w:vAlign w:val="top"/>
          </w:tcPr>
          <w:p w14:paraId="6A5D521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市文旅局、市场监管领域相关部门</w:t>
            </w:r>
          </w:p>
        </w:tc>
      </w:tr>
      <w:tr w14:paraId="00D2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5" w:hRule="atLeast"/>
        </w:trPr>
        <w:tc>
          <w:tcPr>
            <w:tcW w:w="682" w:type="dxa"/>
            <w:vAlign w:val="top"/>
          </w:tcPr>
          <w:p w14:paraId="4BA94F1E">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4</w:t>
            </w:r>
          </w:p>
        </w:tc>
        <w:tc>
          <w:tcPr>
            <w:tcW w:w="960" w:type="dxa"/>
            <w:vAlign w:val="top"/>
          </w:tcPr>
          <w:p w14:paraId="27E9173A">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歌舞游艺娱乐场所</w:t>
            </w:r>
          </w:p>
        </w:tc>
        <w:tc>
          <w:tcPr>
            <w:tcW w:w="721" w:type="dxa"/>
            <w:vAlign w:val="top"/>
          </w:tcPr>
          <w:p w14:paraId="708CC59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both"/>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w:t>
            </w:r>
            <w:r>
              <w:rPr>
                <w:rFonts w:hint="eastAsia" w:ascii="黑体" w:hAnsi="黑体" w:eastAsia="黑体" w:cs="黑体"/>
                <w:bCs/>
                <w:color w:val="auto"/>
                <w:sz w:val="18"/>
                <w:szCs w:val="18"/>
                <w:shd w:val="clear" w:color="000000" w:fill="auto"/>
                <w:vertAlign w:val="baseline"/>
                <w:lang w:val="en-US" w:eastAsia="zh-CN"/>
              </w:rPr>
              <w:t xml:space="preserve"> </w:t>
            </w:r>
            <w:r>
              <w:rPr>
                <w:rFonts w:hint="eastAsia" w:ascii="黑体" w:hAnsi="黑体" w:eastAsia="黑体" w:cs="黑体"/>
                <w:bCs/>
                <w:color w:val="auto"/>
                <w:sz w:val="18"/>
                <w:szCs w:val="18"/>
                <w:shd w:val="clear" w:color="000000" w:fill="auto"/>
                <w:vertAlign w:val="baseline"/>
                <w:lang w:eastAsia="zh-CN"/>
              </w:rPr>
              <w:t>局</w:t>
            </w:r>
          </w:p>
        </w:tc>
        <w:tc>
          <w:tcPr>
            <w:tcW w:w="734" w:type="dxa"/>
            <w:vAlign w:val="top"/>
          </w:tcPr>
          <w:p w14:paraId="0F900ED2">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市卫健委</w:t>
            </w:r>
          </w:p>
        </w:tc>
        <w:tc>
          <w:tcPr>
            <w:tcW w:w="1092" w:type="dxa"/>
            <w:vAlign w:val="top"/>
          </w:tcPr>
          <w:p w14:paraId="4770B34B">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福州市</w:t>
            </w:r>
          </w:p>
        </w:tc>
        <w:tc>
          <w:tcPr>
            <w:tcW w:w="1173" w:type="dxa"/>
            <w:vAlign w:val="top"/>
          </w:tcPr>
          <w:p w14:paraId="252E230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歌舞游艺娱乐场所</w:t>
            </w:r>
          </w:p>
        </w:tc>
        <w:tc>
          <w:tcPr>
            <w:tcW w:w="585" w:type="dxa"/>
            <w:vAlign w:val="top"/>
          </w:tcPr>
          <w:p w14:paraId="12FDBB8C">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5%</w:t>
            </w:r>
          </w:p>
        </w:tc>
        <w:tc>
          <w:tcPr>
            <w:tcW w:w="4905" w:type="dxa"/>
            <w:vAlign w:val="top"/>
          </w:tcPr>
          <w:p w14:paraId="1EFF5A30">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文化和旅游部门：</w:t>
            </w:r>
          </w:p>
          <w:p w14:paraId="79837358">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歌舞娱乐场所的歌曲点播系统是否与境外的曲库联接；2.歌舞娱乐场所播放的曲目、屏幕画面或者游艺娱乐场所电子游戏机内的游戏项目是否含有条例第十三条禁止内容；3.歌舞娱乐场所是否接纳未成年人；4.游艺娱乐场所设置的电子游戏机是否在国家法定节假日外向未成年人提供；5.娱乐场所容纳的消费者是否超过核定人数；6.变更有关事项，是否按照条例规定申请重新核发娱乐经营许可证；7.是否在条例规定的禁止营业时间内营业；8.从业人员在营业期间是否统一着装并佩带工作标志；9.娱乐场所是否按照规定建立从业人员名簿、营业日志，或者发现违法犯罪行为按照条例规定报告；10.娱乐场所是否按照条例规定悬挂警示标志、未成年人禁入或者限入标志；11.是否设置未经文化主管部门内容核查的游戏游艺设备；12.进行有奖经营活动的，奖品目录是否报所在地县级文化主管部门备案；13. 娱乐场所是否为未经文化主管部门批准的营业性演出活动提供场地；15.娱乐场所是否建立文化产品内容自审和巡查制度，确定专人负责管理在场所内提供的文化产品和服务，巡查情况是否记入营业日志；15.消费者利用娱乐场所从事违法违规活动的，娱乐场所是否制止，制止无效的是否及时报告文化主管部门或者公安机关；16.娱乐场所是否在显著位置悬挂娱乐经营许可证、未成年人禁入或者限入标志，标志是否注明“12345”文化市场举报电话；17.娱乐场所是否配合文化主管部门的日常检查和技术监管措施。</w:t>
            </w:r>
          </w:p>
          <w:p w14:paraId="2DFA82C5">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卫生健康部门：</w:t>
            </w:r>
          </w:p>
          <w:p w14:paraId="75A8725E">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baseline"/>
              <w:outlineLvl w:val="9"/>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1.是否取得《公共卫生许可证》；2.设置卫生管理部门或人员情况；3.建立卫生管理档案情况；4.从业人员健康体检情况；5.按规定对空气、微小气候、水质、采光、照明、噪声、顾客用品用具进行卫生检测情况；6.卫生信誉度等级和卫生检测信息情况；7.按规定对顾客用品用具进行清洗、消毒、保洁情况；8.开展集中空调通风系统卫生检测或卫生学评价情况；9.开展集中空调通风系统清洗消毒情况。</w:t>
            </w:r>
          </w:p>
        </w:tc>
        <w:tc>
          <w:tcPr>
            <w:tcW w:w="735" w:type="dxa"/>
            <w:vAlign w:val="top"/>
          </w:tcPr>
          <w:p w14:paraId="5F07B18D">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baseline"/>
              <w:outlineLvl w:val="9"/>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bCs/>
                <w:color w:val="auto"/>
                <w:sz w:val="15"/>
                <w:szCs w:val="15"/>
                <w:shd w:val="clear" w:color="000000" w:fill="auto"/>
                <w:vertAlign w:val="baseline"/>
                <w:lang w:val="en-US" w:eastAsia="zh-CN"/>
              </w:rPr>
              <w:t>《互联网文化管理暂行规定》</w:t>
            </w:r>
          </w:p>
        </w:tc>
        <w:tc>
          <w:tcPr>
            <w:tcW w:w="1288" w:type="dxa"/>
            <w:vAlign w:val="top"/>
          </w:tcPr>
          <w:p w14:paraId="4945A1C7">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val="en-US" w:eastAsia="zh-CN"/>
              </w:rPr>
            </w:pPr>
            <w:r>
              <w:rPr>
                <w:rFonts w:hint="eastAsia" w:ascii="黑体" w:hAnsi="黑体" w:eastAsia="黑体" w:cs="黑体"/>
                <w:bCs/>
                <w:color w:val="auto"/>
                <w:sz w:val="18"/>
                <w:szCs w:val="18"/>
                <w:shd w:val="clear" w:color="000000" w:fill="auto"/>
                <w:vertAlign w:val="baseline"/>
                <w:lang w:val="en-US" w:eastAsia="zh-CN"/>
              </w:rPr>
              <w:t>全年</w:t>
            </w:r>
          </w:p>
        </w:tc>
        <w:tc>
          <w:tcPr>
            <w:tcW w:w="1272" w:type="dxa"/>
            <w:vAlign w:val="top"/>
          </w:tcPr>
          <w:p w14:paraId="7BF68FAC">
            <w:pPr>
              <w:widowControl/>
              <w:spacing w:line="600" w:lineRule="exact"/>
              <w:jc w:val="center"/>
              <w:textAlignment w:val="baseline"/>
              <w:rPr>
                <w:rFonts w:hint="eastAsia" w:ascii="黑体" w:hAnsi="黑体" w:eastAsia="黑体" w:cs="黑体"/>
                <w:bCs/>
                <w:color w:val="auto"/>
                <w:sz w:val="18"/>
                <w:szCs w:val="18"/>
                <w:shd w:val="clear" w:color="000000" w:fill="auto"/>
                <w:vertAlign w:val="baseline"/>
                <w:lang w:eastAsia="zh-CN"/>
              </w:rPr>
            </w:pPr>
            <w:r>
              <w:rPr>
                <w:rFonts w:hint="eastAsia" w:ascii="黑体" w:hAnsi="黑体" w:eastAsia="黑体" w:cs="黑体"/>
                <w:bCs/>
                <w:color w:val="auto"/>
                <w:sz w:val="18"/>
                <w:szCs w:val="18"/>
                <w:shd w:val="clear" w:color="000000" w:fill="auto"/>
                <w:vertAlign w:val="baseline"/>
                <w:lang w:eastAsia="zh-CN"/>
              </w:rPr>
              <w:t>市文旅、公安部门，市税务稽查局</w:t>
            </w:r>
          </w:p>
        </w:tc>
      </w:tr>
    </w:tbl>
    <w:p w14:paraId="149BB43A">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方正小标宋_GBK" w:hAnsi="方正小标宋_GBK" w:eastAsia="方正小标宋_GBK" w:cs="方正小标宋_GBK"/>
          <w:sz w:val="44"/>
          <w:szCs w:val="44"/>
          <w:lang w:val="en-US" w:eastAsia="zh-CN"/>
        </w:rPr>
      </w:pPr>
      <w:bookmarkStart w:id="0" w:name="_GoBack"/>
      <w:bookmarkEnd w:id="0"/>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238DFF7-D001-4F6A-997E-D3367BF5644C}"/>
  </w:font>
  <w:font w:name="Arial">
    <w:panose1 w:val="020B0604020202020204"/>
    <w:charset w:val="01"/>
    <w:family w:val="swiss"/>
    <w:pitch w:val="default"/>
    <w:sig w:usb0="E0002EFF" w:usb1="C000785B" w:usb2="00000009" w:usb3="00000000" w:csb0="400001FF" w:csb1="FFFF0000"/>
    <w:embedRegular r:id="rId2" w:fontKey="{17CCC0B2-5240-4FC0-AB6F-93E8A0E7FBA8}"/>
  </w:font>
  <w:font w:name="黑体">
    <w:panose1 w:val="02010609060101010101"/>
    <w:charset w:val="86"/>
    <w:family w:val="auto"/>
    <w:pitch w:val="default"/>
    <w:sig w:usb0="800002BF" w:usb1="38CF7CFA" w:usb2="00000016" w:usb3="00000000" w:csb0="00040001" w:csb1="00000000"/>
    <w:embedRegular r:id="rId3" w:fontKey="{E431E667-48D1-4562-9FAD-6B7D041CFEDC}"/>
  </w:font>
  <w:font w:name="Courier New">
    <w:panose1 w:val="02070309020205020404"/>
    <w:charset w:val="01"/>
    <w:family w:val="modern"/>
    <w:pitch w:val="default"/>
    <w:sig w:usb0="E0002EFF" w:usb1="C0007843" w:usb2="00000009" w:usb3="00000000" w:csb0="400001FF" w:csb1="FFFF0000"/>
    <w:embedRegular r:id="rId4" w:fontKey="{A6DC4FEC-DE9D-4447-B968-A99F2295B495}"/>
  </w:font>
  <w:font w:name="Symbol">
    <w:panose1 w:val="05050102010706020507"/>
    <w:charset w:val="02"/>
    <w:family w:val="roman"/>
    <w:pitch w:val="default"/>
    <w:sig w:usb0="00000000" w:usb1="00000000" w:usb2="00000000" w:usb3="00000000" w:csb0="80000000" w:csb1="00000000"/>
    <w:embedRegular r:id="rId5" w:fontKey="{CA9A794E-366F-41B9-A47E-4B0605695969}"/>
  </w:font>
  <w:font w:name="Calibri">
    <w:panose1 w:val="020F0502020204030204"/>
    <w:charset w:val="00"/>
    <w:family w:val="swiss"/>
    <w:pitch w:val="default"/>
    <w:sig w:usb0="E4002EFF" w:usb1="C000247B" w:usb2="00000009" w:usb3="00000000" w:csb0="200001FF" w:csb1="00000000"/>
    <w:embedRegular r:id="rId6" w:fontKey="{8AB28FBD-CC8D-450A-B6E6-D292C007885E}"/>
  </w:font>
  <w:font w:name="方正小标宋_GBK">
    <w:panose1 w:val="03000509000000000000"/>
    <w:charset w:val="86"/>
    <w:family w:val="auto"/>
    <w:pitch w:val="default"/>
    <w:sig w:usb0="00000001" w:usb1="080E0000" w:usb2="00000000" w:usb3="00000000" w:csb0="00040000" w:csb1="00000000"/>
    <w:embedRegular r:id="rId7" w:fontKey="{D218B5F2-E209-45D5-91F3-87A4E5EAB0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1Y2ZkNWEwNDA5NDMwZTE2OThkMDE5OGJkZDQyOGQifQ=="/>
  </w:docVars>
  <w:rsids>
    <w:rsidRoot w:val="00000000"/>
    <w:rsid w:val="00753BD9"/>
    <w:rsid w:val="018D7286"/>
    <w:rsid w:val="028A2D7A"/>
    <w:rsid w:val="049E3AFE"/>
    <w:rsid w:val="09A43B3C"/>
    <w:rsid w:val="09CC55A3"/>
    <w:rsid w:val="0C5A6DE6"/>
    <w:rsid w:val="120852F1"/>
    <w:rsid w:val="1319306B"/>
    <w:rsid w:val="16BC07FA"/>
    <w:rsid w:val="1BC8046B"/>
    <w:rsid w:val="1CD932A1"/>
    <w:rsid w:val="2052164C"/>
    <w:rsid w:val="21577F94"/>
    <w:rsid w:val="21B154A0"/>
    <w:rsid w:val="2A8E73B6"/>
    <w:rsid w:val="2B34525E"/>
    <w:rsid w:val="2BD602F9"/>
    <w:rsid w:val="31DE57E1"/>
    <w:rsid w:val="37A12559"/>
    <w:rsid w:val="38B14354"/>
    <w:rsid w:val="399020AA"/>
    <w:rsid w:val="39CF3F57"/>
    <w:rsid w:val="3C111A19"/>
    <w:rsid w:val="3D8C36D6"/>
    <w:rsid w:val="3DEC63E4"/>
    <w:rsid w:val="417846E0"/>
    <w:rsid w:val="498C4ADC"/>
    <w:rsid w:val="4DBB3C27"/>
    <w:rsid w:val="51D97C37"/>
    <w:rsid w:val="53B51901"/>
    <w:rsid w:val="547A406A"/>
    <w:rsid w:val="5A0356E6"/>
    <w:rsid w:val="5B686E63"/>
    <w:rsid w:val="5C08316D"/>
    <w:rsid w:val="5F76571A"/>
    <w:rsid w:val="61D775BD"/>
    <w:rsid w:val="6413298C"/>
    <w:rsid w:val="64397EC6"/>
    <w:rsid w:val="6450779A"/>
    <w:rsid w:val="656E1944"/>
    <w:rsid w:val="665E0A60"/>
    <w:rsid w:val="6DF72B8A"/>
    <w:rsid w:val="703D4A3A"/>
    <w:rsid w:val="704173AE"/>
    <w:rsid w:val="71EF202A"/>
    <w:rsid w:val="71F2699E"/>
    <w:rsid w:val="774312C7"/>
    <w:rsid w:val="78320F33"/>
    <w:rsid w:val="7897272A"/>
    <w:rsid w:val="7AFC32E6"/>
    <w:rsid w:val="7B867918"/>
    <w:rsid w:val="7D415B8E"/>
    <w:rsid w:val="7EC471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1892</Words>
  <Characters>1957</Characters>
  <Lines>0</Lines>
  <Paragraphs>0</Paragraphs>
  <TotalTime>5</TotalTime>
  <ScaleCrop>false</ScaleCrop>
  <LinksUpToDate>false</LinksUpToDate>
  <CharactersWithSpaces>1966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Kazuha</cp:lastModifiedBy>
  <cp:lastPrinted>2022-05-16T00:43:00Z</cp:lastPrinted>
  <dcterms:modified xsi:type="dcterms:W3CDTF">2025-06-04T02:15:35Z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462816127_embed</vt:lpwstr>
  </property>
  <property fmtid="{D5CDD505-2E9C-101B-9397-08002B2CF9AE}" pid="4" name="ICV">
    <vt:lpwstr>67CAEAAB65F848E4B23AA2D469C5073F_13</vt:lpwstr>
  </property>
  <property fmtid="{D5CDD505-2E9C-101B-9397-08002B2CF9AE}" pid="5" name="KSOTemplateDocerSaveRecord">
    <vt:lpwstr>eyJoZGlkIjoiYzYyYTc5YjllZjFhMTBhMjc0MmU3YzQ2OGEyZmQ3YWMiLCJ1c2VySWQiOiI1MDAxOTQ3NjUifQ==</vt:lpwstr>
  </property>
</Properties>
</file>